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70" w:rsidRDefault="00CE2C3C">
      <w:pPr>
        <w:pStyle w:val="Heading1"/>
        <w:ind w:left="3548" w:right="3885"/>
      </w:pPr>
      <w:r>
        <w:t xml:space="preserve">ORDINANCE NO. </w:t>
      </w:r>
      <w:r>
        <w:rPr>
          <w:u w:val="single"/>
        </w:rPr>
        <w:t>22-03</w:t>
      </w:r>
    </w:p>
    <w:p w:rsidR="00C94270" w:rsidRDefault="00C94270">
      <w:pPr>
        <w:pBdr>
          <w:top w:val="nil"/>
          <w:left w:val="nil"/>
          <w:bottom w:val="nil"/>
          <w:right w:val="nil"/>
          <w:between w:val="nil"/>
        </w:pBdr>
        <w:jc w:val="center"/>
        <w:rPr>
          <w:b/>
          <w:color w:val="000000"/>
          <w:sz w:val="20"/>
          <w:szCs w:val="20"/>
        </w:rPr>
      </w:pPr>
    </w:p>
    <w:p w:rsidR="00C94270" w:rsidRDefault="00C94270">
      <w:pPr>
        <w:pBdr>
          <w:top w:val="nil"/>
          <w:left w:val="nil"/>
          <w:bottom w:val="nil"/>
          <w:right w:val="nil"/>
          <w:between w:val="nil"/>
        </w:pBdr>
        <w:spacing w:before="5"/>
        <w:rPr>
          <w:b/>
          <w:color w:val="000000"/>
          <w:sz w:val="16"/>
          <w:szCs w:val="16"/>
        </w:rPr>
      </w:pPr>
    </w:p>
    <w:p w:rsidR="00C94270" w:rsidRDefault="00CE2C3C">
      <w:pPr>
        <w:pBdr>
          <w:top w:val="nil"/>
          <w:left w:val="nil"/>
          <w:bottom w:val="nil"/>
          <w:right w:val="nil"/>
          <w:between w:val="nil"/>
        </w:pBdr>
        <w:spacing w:before="93"/>
        <w:ind w:left="119" w:right="460"/>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AN ORDINANCE OF THE MORAGA-ORINDA FIRE DISTRICT OF CONTRA COSTA COUNTY, CALIFORNIA, </w:t>
      </w:r>
      <w:r>
        <w:rPr>
          <w:rFonts w:ascii="Times New Roman" w:eastAsia="Times New Roman" w:hAnsi="Times New Roman" w:cs="Times New Roman"/>
          <w:sz w:val="24"/>
          <w:szCs w:val="24"/>
        </w:rPr>
        <w:t>DESIGNATING THE LOCAL RESPONSIBILITY AREAS (LRA) PREVIOUSLY DESIGNATED AS WILDLAND URBAN INTERFACE – FIRE AREA AS LRA VERY HIGH FIRE HAZARD SEVERITY ZONES.</w:t>
      </w:r>
    </w:p>
    <w:p w:rsidR="00C94270" w:rsidRDefault="00CE2C3C">
      <w:pPr>
        <w:spacing w:before="240" w:after="240" w:line="242" w:lineRule="auto"/>
        <w:ind w:left="90"/>
        <w:jc w:val="both"/>
      </w:pPr>
      <w:r>
        <w:t>Repealing Ordinance No. 20-02 of the Moraga-Orinda Fire District; and all other Ordinances and parts of the Ordinances in conflict therewith.  Amending Ordinance No. 09-02 shall be amended to read as follows:</w:t>
      </w:r>
    </w:p>
    <w:p w:rsidR="00C94270" w:rsidRDefault="00CE2C3C">
      <w:pPr>
        <w:pBdr>
          <w:top w:val="nil"/>
          <w:left w:val="nil"/>
          <w:bottom w:val="nil"/>
          <w:right w:val="nil"/>
          <w:between w:val="nil"/>
        </w:pBdr>
        <w:spacing w:before="116" w:line="242" w:lineRule="auto"/>
        <w:ind w:left="119" w:right="459"/>
        <w:jc w:val="both"/>
        <w:rPr>
          <w:color w:val="000000"/>
        </w:rPr>
      </w:pPr>
      <w:r>
        <w:rPr>
          <w:color w:val="000000"/>
        </w:rPr>
        <w:t>The Board of Directors, as the governing body of the Moraga-Orinda Fire District does ordain as follows:</w:t>
      </w:r>
    </w:p>
    <w:p w:rsidR="00C94270" w:rsidRDefault="00CE2C3C" w:rsidP="003D7CB1">
      <w:pPr>
        <w:pStyle w:val="Heading1"/>
        <w:spacing w:before="114"/>
        <w:jc w:val="both"/>
      </w:pPr>
      <w:bookmarkStart w:id="1" w:name="_GoBack"/>
      <w:bookmarkEnd w:id="1"/>
      <w:r>
        <w:t>SECTION 1. Designation of Certain Areas of the District as a Very High Fire Hazard Severity Zone.</w:t>
      </w:r>
    </w:p>
    <w:p w:rsidR="00097B93" w:rsidRDefault="00097B93" w:rsidP="00097B93">
      <w:pPr>
        <w:widowControl/>
        <w:numPr>
          <w:ilvl w:val="0"/>
          <w:numId w:val="3"/>
        </w:numPr>
        <w:spacing w:before="121"/>
        <w:ind w:right="451"/>
        <w:jc w:val="both"/>
        <w:rPr>
          <w:rFonts w:eastAsia="Times New Roman"/>
          <w:lang w:bidi="ar-SA"/>
        </w:rPr>
      </w:pPr>
      <w:r>
        <w:rPr>
          <w:rFonts w:eastAsia="Times New Roman"/>
          <w:color w:val="000000"/>
        </w:rPr>
        <w:t>As used in this Ordinance, “Local R</w:t>
      </w:r>
      <w:r>
        <w:rPr>
          <w:rFonts w:eastAsia="Times New Roman"/>
        </w:rPr>
        <w:t xml:space="preserve">esponsibility </w:t>
      </w:r>
      <w:r>
        <w:rPr>
          <w:rFonts w:eastAsia="Times New Roman"/>
          <w:color w:val="000000"/>
        </w:rPr>
        <w:t xml:space="preserve">Area (LRA) </w:t>
      </w:r>
      <w:r>
        <w:rPr>
          <w:rFonts w:eastAsia="Times New Roman"/>
        </w:rPr>
        <w:t>Very High Fire Hazard Severity Zone (VHFHSZ)</w:t>
      </w:r>
      <w:r>
        <w:rPr>
          <w:rFonts w:eastAsia="Times New Roman"/>
          <w:color w:val="000000"/>
        </w:rPr>
        <w:t xml:space="preserve">” means a geographical area identified by the </w:t>
      </w:r>
      <w:r>
        <w:rPr>
          <w:rFonts w:eastAsia="Times New Roman"/>
        </w:rPr>
        <w:t xml:space="preserve">Moraga-Orinda Fire Protection District </w:t>
      </w:r>
      <w:r>
        <w:rPr>
          <w:rFonts w:eastAsia="Times New Roman"/>
          <w:color w:val="000000"/>
        </w:rPr>
        <w:t>  in accordance with Government Code sections 5117</w:t>
      </w:r>
      <w:r>
        <w:rPr>
          <w:rFonts w:eastAsia="Times New Roman"/>
        </w:rPr>
        <w:t>9</w:t>
      </w:r>
      <w:r>
        <w:rPr>
          <w:rFonts w:eastAsia="Times New Roman"/>
          <w:color w:val="000000"/>
        </w:rPr>
        <w:t>.</w:t>
      </w:r>
    </w:p>
    <w:p w:rsidR="00097B93" w:rsidRPr="00097B93" w:rsidRDefault="00097B93" w:rsidP="00097B93">
      <w:pPr>
        <w:widowControl/>
        <w:numPr>
          <w:ilvl w:val="0"/>
          <w:numId w:val="3"/>
        </w:numPr>
        <w:spacing w:before="3"/>
        <w:ind w:right="452"/>
        <w:jc w:val="both"/>
        <w:rPr>
          <w:rFonts w:eastAsia="Times New Roman"/>
        </w:rPr>
      </w:pPr>
      <w:r>
        <w:rPr>
          <w:rFonts w:eastAsia="Times New Roman"/>
          <w:color w:val="000000"/>
        </w:rPr>
        <w:t>Pursuant to Public Resources Code Sections 4201 through 4204 and Government Code Sections 51175 through 51189, and based on the findings in Section 2 of this Ordinance and the substantial evidence supporting those findings, those areas identified as</w:t>
      </w:r>
      <w:r>
        <w:rPr>
          <w:rFonts w:eastAsia="Times New Roman"/>
        </w:rPr>
        <w:t xml:space="preserve"> </w:t>
      </w:r>
      <w:r>
        <w:rPr>
          <w:rFonts w:eastAsia="Times New Roman"/>
          <w:color w:val="000000"/>
        </w:rPr>
        <w:t xml:space="preserve">High Fire Hazard Severity Zones on the fhszl06_1 map attached hereto as Attachment 1 are hereby designated as a LRA </w:t>
      </w:r>
      <w:r>
        <w:rPr>
          <w:rFonts w:eastAsia="Times New Roman"/>
        </w:rPr>
        <w:t>Very High Fire Hazard Severity Zone</w:t>
      </w:r>
      <w:r>
        <w:rPr>
          <w:rFonts w:eastAsia="Times New Roman"/>
          <w:color w:val="000000"/>
        </w:rPr>
        <w:t>.</w:t>
      </w:r>
    </w:p>
    <w:p w:rsidR="00C94270" w:rsidRPr="00097B93" w:rsidRDefault="00097B93" w:rsidP="00097B93">
      <w:pPr>
        <w:widowControl/>
        <w:numPr>
          <w:ilvl w:val="0"/>
          <w:numId w:val="3"/>
        </w:numPr>
        <w:spacing w:before="3"/>
        <w:ind w:right="452"/>
        <w:jc w:val="both"/>
        <w:rPr>
          <w:rFonts w:eastAsia="Times New Roman"/>
        </w:rPr>
      </w:pPr>
      <w:r>
        <w:lastRenderedPageBreak/>
        <w:t>This Ordinance amends</w:t>
      </w:r>
      <w:r w:rsidRPr="00097B93">
        <w:rPr>
          <w:color w:val="000000"/>
        </w:rPr>
        <w:t xml:space="preserve"> Ordinance 09-01, Moraga-Orinda Fire District (designating Very High Fire Hazard and High Fire Hazard Severity Zones). To the extent that areas previously designated as</w:t>
      </w:r>
      <w:r>
        <w:t xml:space="preserve"> a High Fire Hazard Severity Zone</w:t>
      </w:r>
      <w:r w:rsidRPr="00097B93">
        <w:rPr>
          <w:color w:val="000000"/>
        </w:rPr>
        <w:t xml:space="preserve"> are now designated as Local Response Areas (LRA) Very High Fire Hazard Severity Zones, and such designations trigger heightened requirements related to fire safety under state law, the requirements applicable to SRA </w:t>
      </w:r>
      <w:r>
        <w:t>Very High Fire Hazard Severity Zone</w:t>
      </w:r>
      <w:r w:rsidRPr="00097B93">
        <w:rPr>
          <w:color w:val="000000"/>
        </w:rPr>
        <w:t>s and LRA Very High Fire Hazard Severity Zones shall both apply.  To the extent there is any inconsistency between these O</w:t>
      </w:r>
      <w:r>
        <w:t>rdinances</w:t>
      </w:r>
      <w:r w:rsidRPr="00097B93">
        <w:rPr>
          <w:color w:val="000000"/>
        </w:rPr>
        <w:t>, the standard that most effectively promotes fire safety shall prevail</w:t>
      </w:r>
    </w:p>
    <w:p w:rsidR="00C94270" w:rsidRDefault="00CE2C3C">
      <w:pPr>
        <w:pBdr>
          <w:top w:val="nil"/>
          <w:left w:val="nil"/>
          <w:bottom w:val="nil"/>
          <w:right w:val="nil"/>
          <w:between w:val="nil"/>
        </w:pBdr>
        <w:spacing w:before="115" w:line="242" w:lineRule="auto"/>
        <w:ind w:left="120" w:right="456"/>
        <w:jc w:val="both"/>
        <w:rPr>
          <w:color w:val="000000"/>
        </w:rPr>
      </w:pPr>
      <w:r>
        <w:rPr>
          <w:b/>
          <w:color w:val="000000"/>
        </w:rPr>
        <w:t xml:space="preserve">SECTION 2. FINDINGS. </w:t>
      </w:r>
      <w:r>
        <w:rPr>
          <w:color w:val="000000"/>
        </w:rPr>
        <w:t xml:space="preserve">The </w:t>
      </w:r>
      <w:r>
        <w:t>Very High Fire Hazard Severity Zone</w:t>
      </w:r>
      <w:r>
        <w:rPr>
          <w:color w:val="000000"/>
        </w:rPr>
        <w:t xml:space="preserve"> designation made in Section 1(b) of this Ordinance is based on the following findings. Substantial evidence supports these findings.</w:t>
      </w:r>
    </w:p>
    <w:p w:rsidR="00C94270" w:rsidRDefault="00C94270">
      <w:pPr>
        <w:pBdr>
          <w:top w:val="nil"/>
          <w:left w:val="nil"/>
          <w:bottom w:val="nil"/>
          <w:right w:val="nil"/>
          <w:between w:val="nil"/>
        </w:pBdr>
        <w:spacing w:before="1"/>
        <w:rPr>
          <w:color w:val="000000"/>
        </w:rPr>
      </w:pPr>
    </w:p>
    <w:p w:rsidR="00C94270" w:rsidRDefault="00CE2C3C">
      <w:pPr>
        <w:numPr>
          <w:ilvl w:val="0"/>
          <w:numId w:val="1"/>
        </w:numPr>
        <w:pBdr>
          <w:top w:val="nil"/>
          <w:left w:val="nil"/>
          <w:bottom w:val="nil"/>
          <w:right w:val="nil"/>
          <w:between w:val="nil"/>
        </w:pBdr>
        <w:tabs>
          <w:tab w:val="left" w:pos="389"/>
        </w:tabs>
        <w:jc w:val="both"/>
      </w:pPr>
      <w:r>
        <w:rPr>
          <w:color w:val="000000"/>
          <w:u w:val="single"/>
        </w:rPr>
        <w:t>Climatic Conditions.</w:t>
      </w:r>
    </w:p>
    <w:p w:rsidR="00C94270" w:rsidRDefault="00C94270">
      <w:pPr>
        <w:pBdr>
          <w:top w:val="nil"/>
          <w:left w:val="nil"/>
          <w:bottom w:val="nil"/>
          <w:right w:val="nil"/>
          <w:between w:val="nil"/>
        </w:pBdr>
        <w:spacing w:before="8"/>
        <w:rPr>
          <w:color w:val="000000"/>
          <w:sz w:val="13"/>
          <w:szCs w:val="13"/>
        </w:rPr>
      </w:pPr>
    </w:p>
    <w:p w:rsidR="00C94270" w:rsidRDefault="00CE2C3C">
      <w:pPr>
        <w:pBdr>
          <w:top w:val="nil"/>
          <w:left w:val="nil"/>
          <w:bottom w:val="nil"/>
          <w:right w:val="nil"/>
          <w:between w:val="nil"/>
        </w:pBdr>
        <w:spacing w:before="93"/>
        <w:ind w:left="120" w:right="457"/>
        <w:jc w:val="both"/>
        <w:rPr>
          <w:color w:val="000000"/>
        </w:rPr>
      </w:pPr>
      <w:r>
        <w:rPr>
          <w:color w:val="000000"/>
        </w:rPr>
        <w:t>The ever-changing climatic conditions have increased the risk and severity of fires in the Fire District. Local climatic conditions of limited rainfall, low humidity, high temperatures, and high winds along with existing building construction and landscaping create extremely hazardous fire conditions that adversely affect the potential fire line intensity, spread rates, and size of fires in the Fire District. The same climatic conditions may result in the concurrent occurrence of multiple fires in the Fire District throughout the region resulting in inadequate fire district personnel to protect against and control these fires.</w:t>
      </w:r>
    </w:p>
    <w:p w:rsidR="00C94270" w:rsidRDefault="00C94270">
      <w:pPr>
        <w:pBdr>
          <w:top w:val="nil"/>
          <w:left w:val="nil"/>
          <w:bottom w:val="nil"/>
          <w:right w:val="nil"/>
          <w:between w:val="nil"/>
        </w:pBdr>
        <w:rPr>
          <w:color w:val="000000"/>
        </w:rPr>
      </w:pPr>
    </w:p>
    <w:p w:rsidR="00C94270" w:rsidRDefault="00CE2C3C">
      <w:pPr>
        <w:pBdr>
          <w:top w:val="nil"/>
          <w:left w:val="nil"/>
          <w:bottom w:val="nil"/>
          <w:right w:val="nil"/>
          <w:between w:val="nil"/>
        </w:pBdr>
        <w:ind w:left="120" w:right="449"/>
        <w:jc w:val="both"/>
        <w:rPr>
          <w:color w:val="000000"/>
        </w:rPr>
      </w:pPr>
      <w:r>
        <w:rPr>
          <w:color w:val="000000"/>
        </w:rPr>
        <w:t xml:space="preserve">The Fire District is the gateway to central Contra Costa County. It is located amongst rolling hills and valleys created by the Berkeley/Oakland hills to the west and open plains of central Contra Costa County to the east. Due to its location, the Fire District’s climate is more varied than that of its neighbors. The Fire District receives slightly more rainfall than areas further inland, and often, during the summer months, portions of the Fire District are enveloped in fog as the heat in the Central Valley draws cool air in from the San Francisco Bay. </w:t>
      </w:r>
      <w:r>
        <w:rPr>
          <w:color w:val="000000"/>
        </w:rPr>
        <w:lastRenderedPageBreak/>
        <w:t>However, the Fire District also experiences the hot, dry summer weather that is characteristic of central Contra Costa County. This climate has promoted the growth of native grasslands, chaparral, oaks, and other indigenous plant species for the area. The climate has encouraged development in the Fire District, with the addition of primarily residential areas surrounded by large numbers of non-indigenous plant species. Due to the systematic exclusion of naturally occurring fire for over 100 hundred years and a reduction in historical grazing activity as pasture has been developed, these indigenous and non-indigenous plant species have created significant fuel loads throughout the Fire District. Due to the location of the Fire District in proximity to the Oakland/Berkeley Hills, in the fall, the hot dry summer weather gives way to Diablo Wind events characterized by high winds and very low relative humidity. These conditions have contributed to major fire loss in the region and throughout the state, with 17 of the 20 most destructive fires in California history occurring in the fall. The Fire District is exposed to more of these wind events as climate change has delayed the onset of the rainy season, thus increasing the risk of major fires.</w:t>
      </w:r>
    </w:p>
    <w:p w:rsidR="00C94270" w:rsidRDefault="00C94270">
      <w:pPr>
        <w:pBdr>
          <w:top w:val="nil"/>
          <w:left w:val="nil"/>
          <w:bottom w:val="nil"/>
          <w:right w:val="nil"/>
          <w:between w:val="nil"/>
        </w:pBdr>
        <w:rPr>
          <w:color w:val="000000"/>
        </w:rPr>
      </w:pPr>
    </w:p>
    <w:p w:rsidR="00C94270" w:rsidRDefault="00CE2C3C">
      <w:pPr>
        <w:pBdr>
          <w:top w:val="nil"/>
          <w:left w:val="nil"/>
          <w:bottom w:val="nil"/>
          <w:right w:val="nil"/>
          <w:between w:val="nil"/>
        </w:pBdr>
        <w:ind w:left="120" w:right="452"/>
        <w:jc w:val="both"/>
        <w:rPr>
          <w:color w:val="000000"/>
        </w:rPr>
      </w:pPr>
      <w:r>
        <w:rPr>
          <w:color w:val="000000"/>
        </w:rPr>
        <w:t>In September 1923, during critical climatic fire conditions, a fire started in the wilderness lands of the Fire District’s northern area. This fire spread into the city of Berkeley and, within two hours, was attacking houses within the City limits. A total of 130 acres of built-up territory burned. 584 buildings were wholly destroyed, with roughly 30 others seriously damaged. At this time, this was the most destructive fire in California history.</w:t>
      </w:r>
    </w:p>
    <w:p w:rsidR="00C94270" w:rsidRDefault="00C94270">
      <w:pPr>
        <w:pBdr>
          <w:top w:val="nil"/>
          <w:left w:val="nil"/>
          <w:bottom w:val="nil"/>
          <w:right w:val="nil"/>
          <w:between w:val="nil"/>
        </w:pBdr>
        <w:spacing w:before="9"/>
        <w:rPr>
          <w:color w:val="000000"/>
          <w:sz w:val="21"/>
          <w:szCs w:val="21"/>
        </w:rPr>
      </w:pPr>
    </w:p>
    <w:p w:rsidR="00C94270" w:rsidRDefault="00CE2C3C">
      <w:pPr>
        <w:pBdr>
          <w:top w:val="nil"/>
          <w:left w:val="nil"/>
          <w:bottom w:val="nil"/>
          <w:right w:val="nil"/>
          <w:between w:val="nil"/>
        </w:pBdr>
        <w:ind w:left="120" w:right="450"/>
        <w:jc w:val="both"/>
        <w:rPr>
          <w:color w:val="000000"/>
        </w:rPr>
      </w:pPr>
      <w:r>
        <w:rPr>
          <w:color w:val="000000"/>
        </w:rPr>
        <w:t>In September 1970, during critical climatic fire conditions characterized by hot, dry winds out of the northeast, a fire started along Fish Ranch Road and Grizzly Peak. This fire rapidly spread into the surrounding neighborhoods of Oakland, burning 400 acres and destroying 37 homes. An additional 18 homes were badly damaged before the fire was brought under control.</w:t>
      </w:r>
    </w:p>
    <w:p w:rsidR="00C94270" w:rsidRDefault="00C94270">
      <w:pPr>
        <w:pBdr>
          <w:top w:val="nil"/>
          <w:left w:val="nil"/>
          <w:bottom w:val="nil"/>
          <w:right w:val="nil"/>
          <w:between w:val="nil"/>
        </w:pBdr>
        <w:spacing w:before="3"/>
        <w:rPr>
          <w:color w:val="000000"/>
        </w:rPr>
      </w:pPr>
    </w:p>
    <w:p w:rsidR="00C94270" w:rsidRDefault="00CE2C3C">
      <w:pPr>
        <w:pBdr>
          <w:top w:val="nil"/>
          <w:left w:val="nil"/>
          <w:bottom w:val="nil"/>
          <w:right w:val="nil"/>
          <w:between w:val="nil"/>
        </w:pBdr>
        <w:ind w:left="120" w:right="453"/>
        <w:jc w:val="both"/>
        <w:rPr>
          <w:color w:val="000000"/>
        </w:rPr>
      </w:pPr>
      <w:r>
        <w:rPr>
          <w:color w:val="000000"/>
        </w:rPr>
        <w:t xml:space="preserve">In August 1988, during critical climatic fire conditions, a small fire started near Crestview in Lost Valley and within minutes destroyed 5 homes. This fire’s </w:t>
      </w:r>
      <w:r>
        <w:rPr>
          <w:color w:val="000000"/>
        </w:rPr>
        <w:lastRenderedPageBreak/>
        <w:t>spread rate was increased by the prevalence of light flashy fuels, and steep slopes in alignment with strong winds.</w:t>
      </w:r>
    </w:p>
    <w:p w:rsidR="00C94270" w:rsidRDefault="00C94270">
      <w:pPr>
        <w:pBdr>
          <w:top w:val="nil"/>
          <w:left w:val="nil"/>
          <w:bottom w:val="nil"/>
          <w:right w:val="nil"/>
          <w:between w:val="nil"/>
        </w:pBdr>
        <w:rPr>
          <w:color w:val="000000"/>
        </w:rPr>
      </w:pPr>
    </w:p>
    <w:p w:rsidR="00C94270" w:rsidRDefault="00CE2C3C">
      <w:pPr>
        <w:pBdr>
          <w:top w:val="nil"/>
          <w:left w:val="nil"/>
          <w:bottom w:val="nil"/>
          <w:right w:val="nil"/>
          <w:between w:val="nil"/>
        </w:pBdr>
        <w:ind w:left="120" w:right="455"/>
        <w:jc w:val="both"/>
        <w:rPr>
          <w:color w:val="000000"/>
        </w:rPr>
      </w:pPr>
      <w:r>
        <w:rPr>
          <w:color w:val="000000"/>
        </w:rPr>
        <w:t>In October 1991, a disastrous firestorm burned through the Oakland hills from an ignition point just west of the Fire District’s border. Within the first few hours, thousands of people were evacuated. Ultimately over 3,000 dwelling units were destroyed in what replaced the 1923 fire as the most destructive fire in California history.</w:t>
      </w:r>
    </w:p>
    <w:p w:rsidR="00C94270" w:rsidRDefault="00C94270">
      <w:pPr>
        <w:pBdr>
          <w:top w:val="nil"/>
          <w:left w:val="nil"/>
          <w:bottom w:val="nil"/>
          <w:right w:val="nil"/>
          <w:between w:val="nil"/>
        </w:pBdr>
        <w:spacing w:before="7"/>
        <w:rPr>
          <w:color w:val="000000"/>
          <w:sz w:val="21"/>
          <w:szCs w:val="21"/>
        </w:rPr>
      </w:pPr>
    </w:p>
    <w:p w:rsidR="00C94270" w:rsidRDefault="00CE2C3C">
      <w:pPr>
        <w:pBdr>
          <w:top w:val="nil"/>
          <w:left w:val="nil"/>
          <w:bottom w:val="nil"/>
          <w:right w:val="nil"/>
          <w:between w:val="nil"/>
        </w:pBdr>
        <w:ind w:left="120" w:right="453"/>
        <w:jc w:val="both"/>
        <w:rPr>
          <w:color w:val="000000"/>
        </w:rPr>
      </w:pPr>
      <w:r>
        <w:rPr>
          <w:color w:val="000000"/>
        </w:rPr>
        <w:t xml:space="preserve">On October 27, 2019, sustained single-digit relative humidity and 30+ mph winds created explosive fire conditions throughout the region. On the same day that the </w:t>
      </w:r>
      <w:r>
        <w:rPr>
          <w:color w:val="000000"/>
          <w:sz w:val="21"/>
          <w:szCs w:val="21"/>
        </w:rPr>
        <w:t xml:space="preserve">Kincade </w:t>
      </w:r>
      <w:r>
        <w:rPr>
          <w:color w:val="000000"/>
        </w:rPr>
        <w:t>fire burned in Sonoma County, five major fires broke out in Contra Costa County. Three of these fires burned in proximity to the Fire District in Lafayette, Crockett, and Martinez and resulted in the depletion of available mutual aid resources as available firefighting units were committed to each new fire.</w:t>
      </w:r>
    </w:p>
    <w:p w:rsidR="00C94270" w:rsidRDefault="00C94270">
      <w:pPr>
        <w:pBdr>
          <w:top w:val="nil"/>
          <w:left w:val="nil"/>
          <w:bottom w:val="nil"/>
          <w:right w:val="nil"/>
          <w:between w:val="nil"/>
        </w:pBdr>
        <w:spacing w:before="9"/>
        <w:rPr>
          <w:color w:val="000000"/>
          <w:sz w:val="21"/>
          <w:szCs w:val="21"/>
        </w:rPr>
      </w:pPr>
    </w:p>
    <w:p w:rsidR="00C94270" w:rsidRDefault="00CE2C3C">
      <w:pPr>
        <w:pBdr>
          <w:top w:val="nil"/>
          <w:left w:val="nil"/>
          <w:bottom w:val="nil"/>
          <w:right w:val="nil"/>
          <w:between w:val="nil"/>
        </w:pBdr>
        <w:ind w:left="119" w:right="450"/>
        <w:jc w:val="both"/>
        <w:rPr>
          <w:color w:val="000000"/>
        </w:rPr>
      </w:pPr>
      <w:r>
        <w:rPr>
          <w:color w:val="000000"/>
        </w:rPr>
        <w:t>Throughout the Fire District, homes are surrounded by heavy vegetation with interspersed open areas, creating a semi-rural character. The resulting exposure to wildfire risk is increased by the negative effects of high wind conditions during the fire season. During May to October, critical climatic fire conditions regularly occur when the temperature exceeds 80F; wind speed is greater than 15 mph, fuel moisture is less than or equal to 10 percent, wind direction is from north to the east-southeast, and the ignition component is 65 or greater. These conditions occur more frequently during the fire season, but this does not preclude the possibility that a serious fire could occur during other months of the year.</w:t>
      </w:r>
    </w:p>
    <w:p w:rsidR="00C94270" w:rsidRDefault="00C94270">
      <w:pPr>
        <w:pBdr>
          <w:top w:val="nil"/>
          <w:left w:val="nil"/>
          <w:bottom w:val="nil"/>
          <w:right w:val="nil"/>
          <w:between w:val="nil"/>
        </w:pBdr>
        <w:spacing w:before="3"/>
        <w:rPr>
          <w:color w:val="000000"/>
        </w:rPr>
      </w:pPr>
    </w:p>
    <w:p w:rsidR="00C94270" w:rsidRDefault="00CE2C3C">
      <w:pPr>
        <w:pBdr>
          <w:top w:val="nil"/>
          <w:left w:val="nil"/>
          <w:bottom w:val="nil"/>
          <w:right w:val="nil"/>
          <w:between w:val="nil"/>
        </w:pBdr>
        <w:ind w:left="119" w:right="453"/>
        <w:jc w:val="both"/>
        <w:rPr>
          <w:color w:val="000000"/>
        </w:rPr>
      </w:pPr>
      <w:r>
        <w:rPr>
          <w:color w:val="000000"/>
        </w:rPr>
        <w:t>The critical climate fire conditions create a situation conducive to rapidly moving, high-intensity fires. Fires starting in the wildland areas along the northern border are likely to move rapidly southward into the populated areas creating the potential for significant property loss and a very challenging evacuation problem.</w:t>
      </w:r>
    </w:p>
    <w:p w:rsidR="00C94270" w:rsidRDefault="00C94270">
      <w:pPr>
        <w:pBdr>
          <w:top w:val="nil"/>
          <w:left w:val="nil"/>
          <w:bottom w:val="nil"/>
          <w:right w:val="nil"/>
          <w:between w:val="nil"/>
        </w:pBdr>
        <w:rPr>
          <w:color w:val="000000"/>
          <w:sz w:val="24"/>
          <w:szCs w:val="24"/>
        </w:rPr>
      </w:pPr>
    </w:p>
    <w:p w:rsidR="00C94270" w:rsidRDefault="00C94270">
      <w:pPr>
        <w:pBdr>
          <w:top w:val="nil"/>
          <w:left w:val="nil"/>
          <w:bottom w:val="nil"/>
          <w:right w:val="nil"/>
          <w:between w:val="nil"/>
        </w:pBdr>
        <w:spacing w:before="10"/>
        <w:rPr>
          <w:color w:val="000000"/>
          <w:sz w:val="19"/>
          <w:szCs w:val="19"/>
        </w:rPr>
      </w:pPr>
    </w:p>
    <w:p w:rsidR="00C94270" w:rsidRDefault="00CE2C3C">
      <w:pPr>
        <w:numPr>
          <w:ilvl w:val="0"/>
          <w:numId w:val="1"/>
        </w:numPr>
        <w:pBdr>
          <w:top w:val="nil"/>
          <w:left w:val="nil"/>
          <w:bottom w:val="nil"/>
          <w:right w:val="nil"/>
          <w:between w:val="nil"/>
        </w:pBdr>
        <w:tabs>
          <w:tab w:val="left" w:pos="449"/>
        </w:tabs>
        <w:ind w:left="448" w:hanging="329"/>
        <w:jc w:val="both"/>
      </w:pPr>
      <w:r>
        <w:rPr>
          <w:color w:val="000000"/>
          <w:u w:val="single"/>
        </w:rPr>
        <w:lastRenderedPageBreak/>
        <w:t>Geological Conditions.</w:t>
      </w:r>
    </w:p>
    <w:p w:rsidR="00C94270" w:rsidRDefault="00C94270">
      <w:pPr>
        <w:pBdr>
          <w:top w:val="nil"/>
          <w:left w:val="nil"/>
          <w:bottom w:val="nil"/>
          <w:right w:val="nil"/>
          <w:between w:val="nil"/>
        </w:pBdr>
        <w:spacing w:before="9"/>
        <w:rPr>
          <w:color w:val="000000"/>
          <w:sz w:val="13"/>
          <w:szCs w:val="13"/>
        </w:rPr>
      </w:pPr>
    </w:p>
    <w:p w:rsidR="00C94270" w:rsidRDefault="00CE2C3C">
      <w:pPr>
        <w:pBdr>
          <w:top w:val="nil"/>
          <w:left w:val="nil"/>
          <w:bottom w:val="nil"/>
          <w:right w:val="nil"/>
          <w:between w:val="nil"/>
        </w:pBdr>
        <w:spacing w:before="93"/>
        <w:ind w:left="120" w:right="455"/>
        <w:jc w:val="both"/>
        <w:rPr>
          <w:color w:val="000000"/>
        </w:rPr>
      </w:pPr>
      <w:r>
        <w:rPr>
          <w:color w:val="000000"/>
        </w:rPr>
        <w:t>Local geological conditions include high potential for seismic activity. The Fire District is made up of built-up suburban areas having buildings and structures constructed near three major fault systems capable of producing major earthquakes, the modifications cited herein are intended to better limit life safety hazards and property damage in the aftermath of seismic activity.</w:t>
      </w:r>
    </w:p>
    <w:p w:rsidR="00C94270" w:rsidRDefault="00C94270">
      <w:pPr>
        <w:pBdr>
          <w:top w:val="nil"/>
          <w:left w:val="nil"/>
          <w:bottom w:val="nil"/>
          <w:right w:val="nil"/>
          <w:between w:val="nil"/>
        </w:pBdr>
        <w:spacing w:before="93"/>
        <w:ind w:left="120" w:right="455"/>
        <w:jc w:val="both"/>
        <w:rPr>
          <w:color w:val="000000"/>
        </w:rPr>
      </w:pPr>
    </w:p>
    <w:p w:rsidR="00C94270" w:rsidRDefault="00CE2C3C">
      <w:pPr>
        <w:pBdr>
          <w:top w:val="nil"/>
          <w:left w:val="nil"/>
          <w:bottom w:val="nil"/>
          <w:right w:val="nil"/>
          <w:between w:val="nil"/>
        </w:pBdr>
        <w:spacing w:before="93"/>
        <w:ind w:left="120" w:right="455"/>
        <w:jc w:val="both"/>
        <w:rPr>
          <w:color w:val="000000"/>
        </w:rPr>
      </w:pPr>
      <w:r>
        <w:rPr>
          <w:color w:val="000000"/>
        </w:rPr>
        <w:t xml:space="preserve">The Fire District is in a region of high seismic activity with the Hayward fault running just west of its border. The San Andreas </w:t>
      </w:r>
      <w:proofErr w:type="gramStart"/>
      <w:r>
        <w:rPr>
          <w:color w:val="000000"/>
        </w:rPr>
        <w:t>fault</w:t>
      </w:r>
      <w:proofErr w:type="gramEnd"/>
      <w:r>
        <w:rPr>
          <w:color w:val="000000"/>
        </w:rPr>
        <w:t xml:space="preserve"> is farther to the west and the Calaveras Fault to the east. All three faults are known to be active, as evidenced by the damaging earthquakes they have produced in the last 100 years and can, therefore, be expected to do the same in the future. Of primary concern to the Fire District is the Hayward Fault, which has been estimated to be capable of earthquakes exceeding a magnitude of 7.0 on the Richter scale. A large number of underground utilities cross the fault, including major water supply lines. Intensified damage during an earthquake may be expected in slide areas, as well as residential hillside areas located within or near the fault zone; some areas are steep and have previously been subjected to slides.</w:t>
      </w:r>
    </w:p>
    <w:p w:rsidR="00C94270" w:rsidRDefault="00C94270">
      <w:pPr>
        <w:pBdr>
          <w:top w:val="nil"/>
          <w:left w:val="nil"/>
          <w:bottom w:val="nil"/>
          <w:right w:val="nil"/>
          <w:between w:val="nil"/>
        </w:pBdr>
        <w:spacing w:before="2"/>
        <w:rPr>
          <w:color w:val="000000"/>
        </w:rPr>
      </w:pPr>
    </w:p>
    <w:p w:rsidR="00C94270" w:rsidRDefault="00CE2C3C">
      <w:pPr>
        <w:pBdr>
          <w:top w:val="nil"/>
          <w:left w:val="nil"/>
          <w:bottom w:val="nil"/>
          <w:right w:val="nil"/>
          <w:between w:val="nil"/>
        </w:pBdr>
        <w:ind w:left="120" w:right="451"/>
        <w:jc w:val="both"/>
        <w:rPr>
          <w:color w:val="000000"/>
        </w:rPr>
      </w:pPr>
      <w:r>
        <w:rPr>
          <w:color w:val="000000"/>
        </w:rPr>
        <w:t>Additional potential events following an earthquake include broken natural gas mains and ensuing fires in the streets; building fires, as the result of broken service connection, trapped occupants in collapsed structures; and requirements to render first aid and other medical attention to a large number of residents.</w:t>
      </w:r>
    </w:p>
    <w:p w:rsidR="00C94270" w:rsidRDefault="00C94270">
      <w:pPr>
        <w:pBdr>
          <w:top w:val="nil"/>
          <w:left w:val="nil"/>
          <w:bottom w:val="nil"/>
          <w:right w:val="nil"/>
          <w:between w:val="nil"/>
        </w:pBdr>
        <w:spacing w:before="11"/>
        <w:rPr>
          <w:color w:val="000000"/>
          <w:sz w:val="21"/>
          <w:szCs w:val="21"/>
        </w:rPr>
      </w:pPr>
    </w:p>
    <w:p w:rsidR="00C94270" w:rsidRDefault="00CE2C3C">
      <w:pPr>
        <w:numPr>
          <w:ilvl w:val="0"/>
          <w:numId w:val="1"/>
        </w:numPr>
        <w:pBdr>
          <w:top w:val="nil"/>
          <w:left w:val="nil"/>
          <w:bottom w:val="nil"/>
          <w:right w:val="nil"/>
          <w:between w:val="nil"/>
        </w:pBdr>
        <w:tabs>
          <w:tab w:val="left" w:pos="400"/>
        </w:tabs>
        <w:ind w:left="400" w:hanging="280"/>
        <w:jc w:val="both"/>
      </w:pPr>
      <w:r>
        <w:rPr>
          <w:color w:val="000000"/>
          <w:u w:val="single"/>
        </w:rPr>
        <w:t>Topographical Conditions.</w:t>
      </w:r>
    </w:p>
    <w:p w:rsidR="00C94270" w:rsidRDefault="00C94270">
      <w:pPr>
        <w:pBdr>
          <w:top w:val="nil"/>
          <w:left w:val="nil"/>
          <w:bottom w:val="nil"/>
          <w:right w:val="nil"/>
          <w:between w:val="nil"/>
        </w:pBdr>
        <w:spacing w:before="9"/>
        <w:rPr>
          <w:color w:val="000000"/>
          <w:sz w:val="13"/>
          <w:szCs w:val="13"/>
        </w:rPr>
      </w:pPr>
    </w:p>
    <w:p w:rsidR="00C94270" w:rsidRDefault="00CE2C3C">
      <w:pPr>
        <w:pBdr>
          <w:top w:val="nil"/>
          <w:left w:val="nil"/>
          <w:bottom w:val="nil"/>
          <w:right w:val="nil"/>
          <w:between w:val="nil"/>
        </w:pBdr>
        <w:spacing w:before="93"/>
        <w:ind w:left="120" w:right="453"/>
        <w:jc w:val="both"/>
        <w:rPr>
          <w:color w:val="000000"/>
        </w:rPr>
      </w:pPr>
      <w:r>
        <w:rPr>
          <w:color w:val="000000"/>
        </w:rPr>
        <w:t xml:space="preserve">Local topographical conditions include hillside housing with many narrow and winding streets with slide potential for blockage and limited firefighting water supply. These conditions create the potential for delays in responding when a major fire or earthquake occurs. Many situations will result in limiting or total </w:t>
      </w:r>
      <w:r>
        <w:rPr>
          <w:color w:val="000000"/>
        </w:rPr>
        <w:lastRenderedPageBreak/>
        <w:t>blockage of fire district emergency vehicular traffic, overtaxed fire district personnel, and a lack of resources for the suppression of fire in both structures and vegetated areas in the Fire District. In order to mitigate the conditions that hinder the rapid response of suppression resources to a fire, automatic fire-extinguishing systems, and enhanced fuel mitigation requirements are required over and above state code requirements. These requirements will buy time for residents to execute an orderly evacuation while allowing for access by firefighting resources.</w:t>
      </w:r>
    </w:p>
    <w:p w:rsidR="00C94270" w:rsidRDefault="00C94270">
      <w:pPr>
        <w:pBdr>
          <w:top w:val="nil"/>
          <w:left w:val="nil"/>
          <w:bottom w:val="nil"/>
          <w:right w:val="nil"/>
          <w:between w:val="nil"/>
        </w:pBdr>
        <w:rPr>
          <w:color w:val="000000"/>
        </w:rPr>
      </w:pPr>
    </w:p>
    <w:p w:rsidR="00C94270" w:rsidRDefault="00CE2C3C">
      <w:pPr>
        <w:pBdr>
          <w:top w:val="nil"/>
          <w:left w:val="nil"/>
          <w:bottom w:val="nil"/>
          <w:right w:val="nil"/>
          <w:between w:val="nil"/>
        </w:pBdr>
        <w:ind w:left="120" w:right="453"/>
        <w:jc w:val="both"/>
        <w:rPr>
          <w:color w:val="000000"/>
        </w:rPr>
      </w:pPr>
      <w:r>
        <w:rPr>
          <w:color w:val="000000"/>
        </w:rPr>
        <w:t>The Fire District has many homes that are reached by narrow and winding paved streets, which hamper access for fire apparatus and provide limited evacuation routes for residents. In addition, many of the hillside homes are in outlying areas that require longer response times for the total required firefighting force. El Toyonal, Sleepy Hollow, the Downs, Canyon, and other areas with limited access via narrow and winding streets may face the problem of isolation from the rest of the Fire District and will suffer from the need for two-way traffic as evacuation and suppression response travel in opposite directions over limited roadways.</w:t>
      </w:r>
    </w:p>
    <w:p w:rsidR="00C94270" w:rsidRDefault="00C94270">
      <w:pPr>
        <w:pBdr>
          <w:top w:val="nil"/>
          <w:left w:val="nil"/>
          <w:bottom w:val="nil"/>
          <w:right w:val="nil"/>
          <w:between w:val="nil"/>
        </w:pBdr>
        <w:rPr>
          <w:color w:val="000000"/>
        </w:rPr>
      </w:pPr>
    </w:p>
    <w:p w:rsidR="00C94270" w:rsidRDefault="00CE2C3C">
      <w:pPr>
        <w:pBdr>
          <w:top w:val="nil"/>
          <w:left w:val="nil"/>
          <w:bottom w:val="nil"/>
          <w:right w:val="nil"/>
          <w:between w:val="nil"/>
        </w:pBdr>
        <w:ind w:left="120" w:right="451"/>
        <w:jc w:val="both"/>
        <w:rPr>
          <w:color w:val="000000"/>
        </w:rPr>
      </w:pPr>
      <w:r>
        <w:rPr>
          <w:color w:val="000000"/>
        </w:rPr>
        <w:t>Effective road widths are further reduced by encroaching vegetation and mid-slope roads built without shoulders. This is particularly pronounced in older neighborhoods of North Orinda, some of which were laid out in the 1920s when vehicles were smaller, codes less stringent, and population density much lower.</w:t>
      </w:r>
    </w:p>
    <w:p w:rsidR="00C94270" w:rsidRDefault="00C94270">
      <w:pPr>
        <w:pBdr>
          <w:top w:val="nil"/>
          <w:left w:val="nil"/>
          <w:bottom w:val="nil"/>
          <w:right w:val="nil"/>
          <w:between w:val="nil"/>
        </w:pBdr>
        <w:spacing w:before="10"/>
        <w:rPr>
          <w:color w:val="000000"/>
          <w:sz w:val="21"/>
          <w:szCs w:val="21"/>
        </w:rPr>
      </w:pPr>
    </w:p>
    <w:p w:rsidR="00C94270" w:rsidRDefault="00CE2C3C">
      <w:pPr>
        <w:pBdr>
          <w:top w:val="nil"/>
          <w:left w:val="nil"/>
          <w:bottom w:val="nil"/>
          <w:right w:val="nil"/>
          <w:between w:val="nil"/>
        </w:pBdr>
        <w:ind w:left="120" w:right="451"/>
        <w:jc w:val="both"/>
        <w:rPr>
          <w:color w:val="000000"/>
        </w:rPr>
      </w:pPr>
      <w:r>
        <w:rPr>
          <w:color w:val="000000"/>
        </w:rPr>
        <w:t>Due to steep slopes that characterize many areas of the Fire District, the establishment of infrastructure to support adequate fire protection needs is not feasible. It is difficult to widen existing streets to meet present standards for emergency operations, and fire hydrants, especially in the hillside areas, often have less than optimum water pressure levels.</w:t>
      </w:r>
    </w:p>
    <w:p w:rsidR="00C94270" w:rsidRDefault="00C94270">
      <w:pPr>
        <w:pBdr>
          <w:top w:val="nil"/>
          <w:left w:val="nil"/>
          <w:bottom w:val="nil"/>
          <w:right w:val="nil"/>
          <w:between w:val="nil"/>
        </w:pBdr>
        <w:ind w:left="120" w:right="451"/>
        <w:jc w:val="both"/>
        <w:rPr>
          <w:color w:val="000000"/>
        </w:rPr>
      </w:pPr>
    </w:p>
    <w:p w:rsidR="00C94270" w:rsidRDefault="00CE2C3C">
      <w:pPr>
        <w:pBdr>
          <w:top w:val="nil"/>
          <w:left w:val="nil"/>
          <w:bottom w:val="nil"/>
          <w:right w:val="nil"/>
          <w:between w:val="nil"/>
        </w:pBdr>
        <w:ind w:left="120" w:right="451"/>
        <w:jc w:val="both"/>
        <w:rPr>
          <w:color w:val="000000"/>
        </w:rPr>
      </w:pPr>
      <w:r>
        <w:rPr>
          <w:color w:val="000000"/>
        </w:rPr>
        <w:t xml:space="preserve">In summary, portions of the Fire District have limited water supplies or roadways that delay the response of emergency equipment to carry out the extinguishment </w:t>
      </w:r>
      <w:r>
        <w:rPr>
          <w:color w:val="000000"/>
        </w:rPr>
        <w:lastRenderedPageBreak/>
        <w:t>of a fire allowing the fire to increase in area. In order to mitigate the above situation that hinders the quick response to a fire, built-in automatic fire-extinguishing systems are required over and above state code requirements. The requirement and installation of such a system will allow for occupants to evacuate and allow the fire to be controlled before the Fire District arrives. This control of the fire also eliminates the potential for fire to spread beyond the structure into the vegetation.</w:t>
      </w:r>
    </w:p>
    <w:p w:rsidR="00C94270" w:rsidRDefault="00C94270">
      <w:pPr>
        <w:pBdr>
          <w:top w:val="nil"/>
          <w:left w:val="nil"/>
          <w:bottom w:val="nil"/>
          <w:right w:val="nil"/>
          <w:between w:val="nil"/>
        </w:pBdr>
        <w:rPr>
          <w:color w:val="000000"/>
        </w:rPr>
      </w:pPr>
    </w:p>
    <w:p w:rsidR="00C94270" w:rsidRDefault="00CE2C3C">
      <w:pPr>
        <w:pBdr>
          <w:top w:val="nil"/>
          <w:left w:val="nil"/>
          <w:bottom w:val="nil"/>
          <w:right w:val="nil"/>
          <w:between w:val="nil"/>
        </w:pBdr>
        <w:ind w:left="119" w:right="453"/>
        <w:jc w:val="both"/>
        <w:rPr>
          <w:color w:val="000000"/>
        </w:rPr>
      </w:pPr>
      <w:r>
        <w:rPr>
          <w:b/>
          <w:color w:val="000000"/>
        </w:rPr>
        <w:t xml:space="preserve">SECTION </w:t>
      </w:r>
      <w:r>
        <w:rPr>
          <w:b/>
        </w:rPr>
        <w:t>3</w:t>
      </w:r>
      <w:r>
        <w:rPr>
          <w:b/>
          <w:color w:val="000000"/>
        </w:rPr>
        <w:t xml:space="preserve">. SEVERABILITY. </w:t>
      </w:r>
      <w:r>
        <w:rPr>
          <w:color w:val="000000"/>
        </w:rPr>
        <w:t>The Board of Directors of the District hereby declares that should any section, paragraph, sentence or word of this Ordinance 2</w:t>
      </w:r>
      <w:r>
        <w:t>2</w:t>
      </w:r>
      <w:r>
        <w:rPr>
          <w:color w:val="000000"/>
        </w:rPr>
        <w:t>-0</w:t>
      </w:r>
      <w:r>
        <w:t>3</w:t>
      </w:r>
      <w:r>
        <w:rPr>
          <w:color w:val="000000"/>
        </w:rPr>
        <w:t xml:space="preserve"> be declared for any reason to be invalid, it is the intent of the Board of Directors of the District that it would have passed all other portions or provisions of this Ordinance independent of the elimination here from any such portion or provision as may be declared invalid.</w:t>
      </w:r>
    </w:p>
    <w:p w:rsidR="00C94270" w:rsidRDefault="00C94270">
      <w:pPr>
        <w:pBdr>
          <w:top w:val="nil"/>
          <w:left w:val="nil"/>
          <w:bottom w:val="nil"/>
          <w:right w:val="nil"/>
          <w:between w:val="nil"/>
        </w:pBdr>
        <w:spacing w:before="9"/>
        <w:rPr>
          <w:color w:val="000000"/>
          <w:sz w:val="21"/>
          <w:szCs w:val="21"/>
        </w:rPr>
      </w:pPr>
    </w:p>
    <w:p w:rsidR="00C94270" w:rsidRDefault="00CE2C3C">
      <w:pPr>
        <w:pBdr>
          <w:top w:val="nil"/>
          <w:left w:val="nil"/>
          <w:bottom w:val="nil"/>
          <w:right w:val="nil"/>
          <w:between w:val="nil"/>
        </w:pBdr>
        <w:spacing w:line="242" w:lineRule="auto"/>
        <w:ind w:left="119" w:right="454"/>
        <w:jc w:val="both"/>
        <w:rPr>
          <w:color w:val="000000"/>
        </w:rPr>
      </w:pPr>
      <w:r>
        <w:rPr>
          <w:b/>
          <w:color w:val="000000"/>
        </w:rPr>
        <w:t xml:space="preserve">SECTION </w:t>
      </w:r>
      <w:r>
        <w:rPr>
          <w:b/>
        </w:rPr>
        <w:t>4</w:t>
      </w:r>
      <w:r>
        <w:rPr>
          <w:b/>
          <w:color w:val="000000"/>
        </w:rPr>
        <w:t xml:space="preserve">. DATE OF EFFECT. </w:t>
      </w:r>
      <w:r>
        <w:rPr>
          <w:color w:val="000000"/>
        </w:rPr>
        <w:t xml:space="preserve">This Ordinance shall become effective on </w:t>
      </w:r>
      <w:r>
        <w:t>_______</w:t>
      </w:r>
      <w:r>
        <w:rPr>
          <w:color w:val="000000"/>
        </w:rPr>
        <w:t xml:space="preserve"> and within fifteen (15) days of passage, shall be published once with the names of the Directors voting for and against it, in the Contra Costa Times, a newspaper of general circulation in this District. Passed and Adopted on </w:t>
      </w:r>
      <w:r>
        <w:t>__________</w:t>
      </w:r>
      <w:r>
        <w:rPr>
          <w:color w:val="000000"/>
        </w:rPr>
        <w:t>, by the following Vote:</w:t>
      </w:r>
    </w:p>
    <w:p w:rsidR="00C94270" w:rsidRDefault="00C94270">
      <w:pPr>
        <w:pBdr>
          <w:top w:val="nil"/>
          <w:left w:val="nil"/>
          <w:bottom w:val="nil"/>
          <w:right w:val="nil"/>
          <w:between w:val="nil"/>
        </w:pBdr>
        <w:rPr>
          <w:color w:val="000000"/>
          <w:sz w:val="24"/>
          <w:szCs w:val="24"/>
        </w:rPr>
      </w:pPr>
    </w:p>
    <w:p w:rsidR="00C94270" w:rsidRDefault="00CE2C3C">
      <w:pPr>
        <w:spacing w:before="120"/>
        <w:jc w:val="both"/>
      </w:pPr>
      <w:r>
        <w:t xml:space="preserve">PASSED, APPROVED and ADOPTED this ____ day of _____ at the regular meeting of the District Board of Directors held virtually on ______, on a motion made by Director </w:t>
      </w:r>
      <w:r>
        <w:rPr>
          <w:u w:val="single"/>
        </w:rPr>
        <w:t>_____</w:t>
      </w:r>
      <w:r>
        <w:t xml:space="preserve"> seconded by Director </w:t>
      </w:r>
      <w:r>
        <w:rPr>
          <w:u w:val="single"/>
        </w:rPr>
        <w:t>_____</w:t>
      </w:r>
      <w:r>
        <w:t>, and duly carried with the following roll call vote:</w:t>
      </w:r>
    </w:p>
    <w:p w:rsidR="00C94270" w:rsidRDefault="00C94270">
      <w:pPr>
        <w:pBdr>
          <w:top w:val="nil"/>
          <w:left w:val="nil"/>
          <w:bottom w:val="nil"/>
          <w:right w:val="nil"/>
          <w:between w:val="nil"/>
        </w:pBdr>
        <w:rPr>
          <w:color w:val="000000"/>
          <w:sz w:val="24"/>
          <w:szCs w:val="24"/>
        </w:rPr>
      </w:pPr>
    </w:p>
    <w:p w:rsidR="00C94270" w:rsidRDefault="00C94270">
      <w:pPr>
        <w:pBdr>
          <w:top w:val="nil"/>
          <w:left w:val="nil"/>
          <w:bottom w:val="nil"/>
          <w:right w:val="nil"/>
          <w:between w:val="nil"/>
        </w:pBdr>
        <w:rPr>
          <w:color w:val="000000"/>
          <w:sz w:val="24"/>
          <w:szCs w:val="24"/>
        </w:rPr>
      </w:pPr>
    </w:p>
    <w:p w:rsidR="00C94270" w:rsidRDefault="00CE2C3C">
      <w:pPr>
        <w:pBdr>
          <w:top w:val="nil"/>
          <w:left w:val="nil"/>
          <w:bottom w:val="nil"/>
          <w:right w:val="nil"/>
          <w:between w:val="nil"/>
        </w:pBdr>
        <w:spacing w:before="202"/>
        <w:ind w:left="120"/>
        <w:rPr>
          <w:color w:val="000000"/>
        </w:rPr>
      </w:pPr>
      <w:r>
        <w:rPr>
          <w:color w:val="000000"/>
        </w:rPr>
        <w:t>AYES:</w:t>
      </w:r>
      <w:r>
        <w:rPr>
          <w:color w:val="000000"/>
        </w:rPr>
        <w:tab/>
      </w:r>
    </w:p>
    <w:p w:rsidR="00C94270" w:rsidRDefault="00C94270">
      <w:pPr>
        <w:pBdr>
          <w:top w:val="nil"/>
          <w:left w:val="nil"/>
          <w:bottom w:val="nil"/>
          <w:right w:val="nil"/>
          <w:between w:val="nil"/>
        </w:pBdr>
        <w:spacing w:before="9"/>
        <w:rPr>
          <w:color w:val="000000"/>
          <w:sz w:val="21"/>
          <w:szCs w:val="21"/>
        </w:rPr>
      </w:pPr>
    </w:p>
    <w:p w:rsidR="00C94270" w:rsidRDefault="00CE2C3C">
      <w:pPr>
        <w:pBdr>
          <w:top w:val="nil"/>
          <w:left w:val="nil"/>
          <w:bottom w:val="nil"/>
          <w:right w:val="nil"/>
          <w:between w:val="nil"/>
        </w:pBdr>
        <w:spacing w:before="1"/>
        <w:ind w:left="120"/>
        <w:rPr>
          <w:color w:val="000000"/>
        </w:rPr>
      </w:pPr>
      <w:r>
        <w:rPr>
          <w:color w:val="000000"/>
        </w:rPr>
        <w:t>NOES:</w:t>
      </w:r>
      <w:r>
        <w:rPr>
          <w:color w:val="000000"/>
        </w:rPr>
        <w:tab/>
      </w:r>
    </w:p>
    <w:p w:rsidR="00C94270" w:rsidRDefault="00C94270">
      <w:pPr>
        <w:pBdr>
          <w:top w:val="nil"/>
          <w:left w:val="nil"/>
          <w:bottom w:val="nil"/>
          <w:right w:val="nil"/>
          <w:between w:val="nil"/>
        </w:pBdr>
        <w:spacing w:before="1"/>
        <w:rPr>
          <w:color w:val="000000"/>
        </w:rPr>
      </w:pPr>
    </w:p>
    <w:p w:rsidR="00C94270" w:rsidRDefault="00CE2C3C">
      <w:pPr>
        <w:pBdr>
          <w:top w:val="nil"/>
          <w:left w:val="nil"/>
          <w:bottom w:val="nil"/>
          <w:right w:val="nil"/>
          <w:between w:val="nil"/>
        </w:pBdr>
        <w:spacing w:before="1"/>
        <w:ind w:left="120"/>
        <w:rPr>
          <w:color w:val="000000"/>
        </w:rPr>
      </w:pPr>
      <w:r>
        <w:rPr>
          <w:color w:val="000000"/>
        </w:rPr>
        <w:t>ABSENT:</w:t>
      </w:r>
      <w:r>
        <w:rPr>
          <w:color w:val="000000"/>
        </w:rPr>
        <w:tab/>
      </w:r>
    </w:p>
    <w:p w:rsidR="00C94270" w:rsidRDefault="00C94270">
      <w:pPr>
        <w:pBdr>
          <w:top w:val="nil"/>
          <w:left w:val="nil"/>
          <w:bottom w:val="nil"/>
          <w:right w:val="nil"/>
          <w:between w:val="nil"/>
        </w:pBdr>
        <w:spacing w:before="9"/>
        <w:rPr>
          <w:color w:val="000000"/>
          <w:sz w:val="21"/>
          <w:szCs w:val="21"/>
        </w:rPr>
      </w:pPr>
    </w:p>
    <w:p w:rsidR="00C94270" w:rsidRDefault="00CE2C3C">
      <w:pPr>
        <w:pBdr>
          <w:top w:val="nil"/>
          <w:left w:val="nil"/>
          <w:bottom w:val="nil"/>
          <w:right w:val="nil"/>
          <w:between w:val="nil"/>
        </w:pBdr>
        <w:ind w:left="120"/>
        <w:rPr>
          <w:color w:val="000000"/>
        </w:rPr>
      </w:pPr>
      <w:r>
        <w:rPr>
          <w:color w:val="000000"/>
        </w:rPr>
        <w:t>ABSTAIN:</w:t>
      </w:r>
      <w:r>
        <w:rPr>
          <w:color w:val="000000"/>
        </w:rPr>
        <w:tab/>
      </w:r>
    </w:p>
    <w:p w:rsidR="00C94270" w:rsidRDefault="00C94270">
      <w:pPr>
        <w:pBdr>
          <w:top w:val="nil"/>
          <w:left w:val="nil"/>
          <w:bottom w:val="nil"/>
          <w:right w:val="nil"/>
          <w:between w:val="nil"/>
        </w:pBdr>
        <w:spacing w:before="2"/>
        <w:rPr>
          <w:color w:val="000000"/>
        </w:rPr>
      </w:pPr>
    </w:p>
    <w:p w:rsidR="00CE2C3C" w:rsidRDefault="00CE2C3C">
      <w:pPr>
        <w:pBdr>
          <w:top w:val="nil"/>
          <w:left w:val="nil"/>
          <w:bottom w:val="nil"/>
          <w:right w:val="nil"/>
          <w:between w:val="nil"/>
        </w:pBdr>
        <w:spacing w:before="2"/>
        <w:rPr>
          <w:color w:val="000000"/>
        </w:rPr>
      </w:pPr>
    </w:p>
    <w:p w:rsidR="00CE2C3C" w:rsidRDefault="00CE2C3C">
      <w:pPr>
        <w:pBdr>
          <w:top w:val="nil"/>
          <w:left w:val="nil"/>
          <w:bottom w:val="nil"/>
          <w:right w:val="nil"/>
          <w:between w:val="nil"/>
        </w:pBdr>
        <w:spacing w:before="2"/>
        <w:rPr>
          <w:color w:val="000000"/>
        </w:rPr>
      </w:pPr>
    </w:p>
    <w:p w:rsidR="00CE2C3C" w:rsidRDefault="00CE2C3C">
      <w:pPr>
        <w:pBdr>
          <w:top w:val="nil"/>
          <w:left w:val="nil"/>
          <w:bottom w:val="nil"/>
          <w:right w:val="nil"/>
          <w:between w:val="nil"/>
        </w:pBdr>
        <w:spacing w:before="2"/>
        <w:rPr>
          <w:color w:val="000000"/>
        </w:rPr>
      </w:pPr>
    </w:p>
    <w:p w:rsidR="00C94270" w:rsidRPr="00CE2C3C" w:rsidRDefault="00CE2C3C" w:rsidP="00CE2C3C">
      <w:pPr>
        <w:rPr>
          <w:b/>
          <w:color w:val="000000"/>
        </w:rPr>
      </w:pPr>
      <w:r w:rsidRPr="00CE2C3C">
        <w:rPr>
          <w:b/>
          <w:color w:val="000000"/>
        </w:rPr>
        <w:t>ORDINANCE 2</w:t>
      </w:r>
      <w:r w:rsidRPr="00CE2C3C">
        <w:rPr>
          <w:b/>
        </w:rPr>
        <w:t>2</w:t>
      </w:r>
      <w:r w:rsidRPr="00CE2C3C">
        <w:rPr>
          <w:b/>
          <w:color w:val="000000"/>
        </w:rPr>
        <w:t>-0</w:t>
      </w:r>
      <w:r w:rsidRPr="00CE2C3C">
        <w:rPr>
          <w:b/>
        </w:rPr>
        <w:t>3</w:t>
      </w:r>
    </w:p>
    <w:p w:rsidR="00C94270" w:rsidRDefault="00C94270">
      <w:pPr>
        <w:pBdr>
          <w:top w:val="nil"/>
          <w:left w:val="nil"/>
          <w:bottom w:val="nil"/>
          <w:right w:val="nil"/>
          <w:between w:val="nil"/>
        </w:pBdr>
        <w:spacing w:before="2"/>
        <w:rPr>
          <w:color w:val="000000"/>
        </w:rPr>
      </w:pPr>
    </w:p>
    <w:p w:rsidR="00C94270" w:rsidRDefault="00C94270">
      <w:pPr>
        <w:pBdr>
          <w:top w:val="nil"/>
          <w:left w:val="nil"/>
          <w:bottom w:val="nil"/>
          <w:right w:val="nil"/>
          <w:between w:val="nil"/>
        </w:pBdr>
        <w:spacing w:before="2"/>
        <w:rPr>
          <w:color w:val="000000"/>
        </w:rPr>
      </w:pPr>
    </w:p>
    <w:tbl>
      <w:tblPr>
        <w:tblStyle w:val="a"/>
        <w:tblW w:w="7857" w:type="dxa"/>
        <w:tblInd w:w="931" w:type="dxa"/>
        <w:tblLayout w:type="fixed"/>
        <w:tblLook w:val="0000" w:firstRow="0" w:lastRow="0" w:firstColumn="0" w:lastColumn="0" w:noHBand="0" w:noVBand="0"/>
      </w:tblPr>
      <w:tblGrid>
        <w:gridCol w:w="4559"/>
        <w:gridCol w:w="3298"/>
      </w:tblGrid>
      <w:tr w:rsidR="00C94270">
        <w:trPr>
          <w:trHeight w:val="501"/>
        </w:trPr>
        <w:tc>
          <w:tcPr>
            <w:tcW w:w="4559" w:type="dxa"/>
          </w:tcPr>
          <w:p w:rsidR="00C94270" w:rsidRDefault="00C94270">
            <w:pPr>
              <w:pBdr>
                <w:top w:val="nil"/>
                <w:left w:val="nil"/>
                <w:bottom w:val="nil"/>
                <w:right w:val="nil"/>
                <w:between w:val="nil"/>
              </w:pBdr>
              <w:spacing w:before="1" w:line="252" w:lineRule="auto"/>
              <w:ind w:left="200" w:right="1521"/>
              <w:rPr>
                <w:color w:val="000000"/>
              </w:rPr>
            </w:pPr>
          </w:p>
        </w:tc>
        <w:tc>
          <w:tcPr>
            <w:tcW w:w="3298" w:type="dxa"/>
            <w:tcBorders>
              <w:top w:val="single" w:sz="4" w:space="0" w:color="000000"/>
            </w:tcBorders>
          </w:tcPr>
          <w:p w:rsidR="00C94270" w:rsidRDefault="00CE2C3C">
            <w:pPr>
              <w:pBdr>
                <w:top w:val="nil"/>
                <w:left w:val="nil"/>
                <w:bottom w:val="nil"/>
                <w:right w:val="nil"/>
                <w:between w:val="nil"/>
              </w:pBdr>
              <w:spacing w:line="245" w:lineRule="auto"/>
              <w:ind w:left="90"/>
              <w:rPr>
                <w:color w:val="000000"/>
              </w:rPr>
            </w:pPr>
            <w:r>
              <w:t>Michael Donner</w:t>
            </w:r>
            <w:r>
              <w:rPr>
                <w:color w:val="000000"/>
              </w:rPr>
              <w:t>, President</w:t>
            </w:r>
          </w:p>
          <w:p w:rsidR="00C94270" w:rsidRDefault="00CE2C3C">
            <w:pPr>
              <w:pBdr>
                <w:top w:val="nil"/>
                <w:left w:val="nil"/>
                <w:bottom w:val="nil"/>
                <w:right w:val="nil"/>
                <w:between w:val="nil"/>
              </w:pBdr>
              <w:spacing w:line="236" w:lineRule="auto"/>
              <w:ind w:left="90"/>
              <w:rPr>
                <w:b/>
                <w:color w:val="000000"/>
              </w:rPr>
            </w:pPr>
            <w:r>
              <w:rPr>
                <w:color w:val="000000"/>
              </w:rPr>
              <w:t>Board of Directors</w:t>
            </w:r>
          </w:p>
        </w:tc>
      </w:tr>
    </w:tbl>
    <w:p w:rsidR="00C94270" w:rsidRDefault="00C94270">
      <w:pPr>
        <w:pBdr>
          <w:top w:val="nil"/>
          <w:left w:val="nil"/>
          <w:bottom w:val="nil"/>
          <w:right w:val="nil"/>
          <w:between w:val="nil"/>
        </w:pBdr>
        <w:spacing w:before="2"/>
        <w:rPr>
          <w:color w:val="000000"/>
        </w:rPr>
      </w:pPr>
    </w:p>
    <w:p w:rsidR="00C94270" w:rsidRDefault="00C94270">
      <w:pPr>
        <w:pBdr>
          <w:top w:val="nil"/>
          <w:left w:val="nil"/>
          <w:bottom w:val="nil"/>
          <w:right w:val="nil"/>
          <w:between w:val="nil"/>
        </w:pBdr>
        <w:spacing w:before="2"/>
        <w:rPr>
          <w:color w:val="000000"/>
        </w:rPr>
      </w:pPr>
    </w:p>
    <w:p w:rsidR="00C94270" w:rsidRDefault="00C94270">
      <w:pPr>
        <w:pBdr>
          <w:top w:val="nil"/>
          <w:left w:val="nil"/>
          <w:bottom w:val="nil"/>
          <w:right w:val="nil"/>
          <w:between w:val="nil"/>
        </w:pBdr>
        <w:spacing w:before="2"/>
        <w:rPr>
          <w:color w:val="000000"/>
        </w:rPr>
      </w:pPr>
    </w:p>
    <w:p w:rsidR="00C94270" w:rsidRDefault="00CE2C3C">
      <w:pPr>
        <w:tabs>
          <w:tab w:val="left" w:pos="5040"/>
        </w:tabs>
        <w:jc w:val="both"/>
      </w:pPr>
      <w:r>
        <w:t>ATTEST:                                                                          APPROVED AS TO FORM:</w:t>
      </w:r>
    </w:p>
    <w:p w:rsidR="00C94270" w:rsidRDefault="00C94270">
      <w:pPr>
        <w:pBdr>
          <w:top w:val="nil"/>
          <w:left w:val="nil"/>
          <w:bottom w:val="nil"/>
          <w:right w:val="nil"/>
          <w:between w:val="nil"/>
        </w:pBdr>
        <w:tabs>
          <w:tab w:val="left" w:pos="5155"/>
          <w:tab w:val="left" w:pos="6351"/>
          <w:tab w:val="left" w:pos="9835"/>
        </w:tabs>
        <w:spacing w:after="15"/>
        <w:ind w:left="120"/>
        <w:rPr>
          <w:color w:val="000000"/>
        </w:rPr>
      </w:pPr>
    </w:p>
    <w:p w:rsidR="00C94270" w:rsidRDefault="00C94270">
      <w:pPr>
        <w:pBdr>
          <w:top w:val="nil"/>
          <w:left w:val="nil"/>
          <w:bottom w:val="nil"/>
          <w:right w:val="nil"/>
          <w:between w:val="nil"/>
        </w:pBdr>
        <w:tabs>
          <w:tab w:val="left" w:pos="5155"/>
          <w:tab w:val="left" w:pos="6351"/>
          <w:tab w:val="left" w:pos="9835"/>
        </w:tabs>
        <w:spacing w:after="15"/>
        <w:ind w:left="120"/>
        <w:rPr>
          <w:color w:val="000000"/>
        </w:rPr>
      </w:pPr>
    </w:p>
    <w:p w:rsidR="00C94270" w:rsidRDefault="00C94270">
      <w:pPr>
        <w:pBdr>
          <w:top w:val="nil"/>
          <w:left w:val="nil"/>
          <w:bottom w:val="nil"/>
          <w:right w:val="nil"/>
          <w:between w:val="nil"/>
        </w:pBdr>
        <w:tabs>
          <w:tab w:val="left" w:pos="5155"/>
          <w:tab w:val="left" w:pos="6351"/>
          <w:tab w:val="left" w:pos="9835"/>
        </w:tabs>
        <w:spacing w:after="15"/>
        <w:ind w:left="120"/>
        <w:rPr>
          <w:color w:val="000000"/>
        </w:rPr>
      </w:pPr>
    </w:p>
    <w:p w:rsidR="00C94270" w:rsidRDefault="00C94270">
      <w:pPr>
        <w:pBdr>
          <w:top w:val="nil"/>
          <w:left w:val="nil"/>
          <w:bottom w:val="nil"/>
          <w:right w:val="nil"/>
          <w:between w:val="nil"/>
        </w:pBdr>
        <w:tabs>
          <w:tab w:val="left" w:pos="5155"/>
          <w:tab w:val="left" w:pos="6351"/>
          <w:tab w:val="left" w:pos="9835"/>
        </w:tabs>
        <w:spacing w:after="15"/>
        <w:rPr>
          <w:color w:val="000000"/>
        </w:rPr>
      </w:pPr>
    </w:p>
    <w:tbl>
      <w:tblPr>
        <w:tblStyle w:val="a0"/>
        <w:tblW w:w="9265" w:type="dxa"/>
        <w:tblBorders>
          <w:top w:val="single" w:sz="4" w:space="0" w:color="000000"/>
          <w:insideH w:val="single" w:sz="4" w:space="0" w:color="000000"/>
        </w:tblBorders>
        <w:tblLayout w:type="fixed"/>
        <w:tblLook w:val="0000" w:firstRow="0" w:lastRow="0" w:firstColumn="0" w:lastColumn="0" w:noHBand="0" w:noVBand="0"/>
      </w:tblPr>
      <w:tblGrid>
        <w:gridCol w:w="4140"/>
        <w:gridCol w:w="1080"/>
        <w:gridCol w:w="4045"/>
      </w:tblGrid>
      <w:tr w:rsidR="00C94270">
        <w:trPr>
          <w:trHeight w:val="501"/>
        </w:trPr>
        <w:tc>
          <w:tcPr>
            <w:tcW w:w="4140" w:type="dxa"/>
          </w:tcPr>
          <w:p w:rsidR="00C94270" w:rsidRDefault="00CE2C3C">
            <w:pPr>
              <w:pBdr>
                <w:top w:val="nil"/>
                <w:left w:val="nil"/>
                <w:bottom w:val="nil"/>
                <w:right w:val="nil"/>
                <w:between w:val="nil"/>
              </w:pBdr>
              <w:spacing w:before="1" w:line="252" w:lineRule="auto"/>
              <w:ind w:left="200" w:right="1521"/>
              <w:rPr>
                <w:color w:val="000000"/>
              </w:rPr>
            </w:pPr>
            <w:r>
              <w:rPr>
                <w:color w:val="000000"/>
              </w:rPr>
              <w:t>Marcia Holbrook District Secretary/Clerk</w:t>
            </w:r>
          </w:p>
        </w:tc>
        <w:tc>
          <w:tcPr>
            <w:tcW w:w="1080" w:type="dxa"/>
            <w:tcBorders>
              <w:top w:val="nil"/>
              <w:bottom w:val="nil"/>
            </w:tcBorders>
          </w:tcPr>
          <w:p w:rsidR="00C94270" w:rsidRDefault="00C94270">
            <w:pPr>
              <w:pBdr>
                <w:top w:val="nil"/>
                <w:left w:val="nil"/>
                <w:bottom w:val="nil"/>
                <w:right w:val="nil"/>
                <w:between w:val="nil"/>
              </w:pBdr>
              <w:spacing w:line="245" w:lineRule="auto"/>
              <w:ind w:left="1380"/>
              <w:rPr>
                <w:color w:val="000000"/>
              </w:rPr>
            </w:pPr>
          </w:p>
        </w:tc>
        <w:tc>
          <w:tcPr>
            <w:tcW w:w="4045" w:type="dxa"/>
          </w:tcPr>
          <w:p w:rsidR="00C94270" w:rsidRDefault="00CE2C3C">
            <w:pPr>
              <w:pBdr>
                <w:top w:val="nil"/>
                <w:left w:val="nil"/>
                <w:bottom w:val="nil"/>
                <w:right w:val="nil"/>
                <w:between w:val="nil"/>
              </w:pBdr>
              <w:spacing w:line="245" w:lineRule="auto"/>
              <w:ind w:left="360"/>
              <w:rPr>
                <w:color w:val="000000"/>
              </w:rPr>
            </w:pPr>
            <w:r>
              <w:rPr>
                <w:color w:val="000000"/>
              </w:rPr>
              <w:t>Jonathan V. Holtzman</w:t>
            </w:r>
          </w:p>
          <w:p w:rsidR="00C94270" w:rsidRDefault="00CE2C3C">
            <w:pPr>
              <w:pBdr>
                <w:top w:val="nil"/>
                <w:left w:val="nil"/>
                <w:bottom w:val="nil"/>
                <w:right w:val="nil"/>
                <w:between w:val="nil"/>
              </w:pBdr>
              <w:spacing w:line="245" w:lineRule="auto"/>
              <w:ind w:left="360"/>
              <w:rPr>
                <w:color w:val="000000"/>
              </w:rPr>
            </w:pPr>
            <w:r>
              <w:rPr>
                <w:color w:val="000000"/>
              </w:rPr>
              <w:t>District Counsel</w:t>
            </w:r>
          </w:p>
          <w:p w:rsidR="00C94270" w:rsidRDefault="00C94270">
            <w:pPr>
              <w:pBdr>
                <w:top w:val="nil"/>
                <w:left w:val="nil"/>
                <w:bottom w:val="nil"/>
                <w:right w:val="nil"/>
                <w:between w:val="nil"/>
              </w:pBdr>
              <w:spacing w:line="236" w:lineRule="auto"/>
              <w:ind w:left="1545"/>
              <w:rPr>
                <w:b/>
                <w:color w:val="000000"/>
              </w:rPr>
            </w:pPr>
          </w:p>
        </w:tc>
      </w:tr>
    </w:tbl>
    <w:p w:rsidR="00C94270" w:rsidRDefault="00C94270">
      <w:pPr>
        <w:spacing w:before="240"/>
      </w:pPr>
    </w:p>
    <w:sectPr w:rsidR="00C94270" w:rsidSect="00CE2C3C">
      <w:pgSz w:w="12240" w:h="15840"/>
      <w:pgMar w:top="1080" w:right="980" w:bottom="720" w:left="13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CD1"/>
    <w:multiLevelType w:val="multilevel"/>
    <w:tmpl w:val="5D4C872C"/>
    <w:lvl w:ilvl="0">
      <w:start w:val="1"/>
      <w:numFmt w:val="lowerLetter"/>
      <w:lvlText w:val="%1."/>
      <w:lvlJc w:val="left"/>
      <w:pPr>
        <w:ind w:left="479" w:hanging="360"/>
      </w:pPr>
      <w:rPr>
        <w:rFonts w:ascii="Arial" w:eastAsia="Arial" w:hAnsi="Arial" w:cs="Arial"/>
        <w:sz w:val="22"/>
        <w:szCs w:val="22"/>
      </w:rPr>
    </w:lvl>
    <w:lvl w:ilvl="1">
      <w:start w:val="1"/>
      <w:numFmt w:val="bullet"/>
      <w:lvlText w:val="•"/>
      <w:lvlJc w:val="left"/>
      <w:pPr>
        <w:ind w:left="1426" w:hanging="360"/>
      </w:pPr>
    </w:lvl>
    <w:lvl w:ilvl="2">
      <w:start w:val="1"/>
      <w:numFmt w:val="bullet"/>
      <w:lvlText w:val="•"/>
      <w:lvlJc w:val="left"/>
      <w:pPr>
        <w:ind w:left="2372" w:hanging="360"/>
      </w:pPr>
    </w:lvl>
    <w:lvl w:ilvl="3">
      <w:start w:val="1"/>
      <w:numFmt w:val="bullet"/>
      <w:lvlText w:val="•"/>
      <w:lvlJc w:val="left"/>
      <w:pPr>
        <w:ind w:left="3318" w:hanging="360"/>
      </w:pPr>
    </w:lvl>
    <w:lvl w:ilvl="4">
      <w:start w:val="1"/>
      <w:numFmt w:val="bullet"/>
      <w:lvlText w:val="•"/>
      <w:lvlJc w:val="left"/>
      <w:pPr>
        <w:ind w:left="4264" w:hanging="360"/>
      </w:pPr>
    </w:lvl>
    <w:lvl w:ilvl="5">
      <w:start w:val="1"/>
      <w:numFmt w:val="bullet"/>
      <w:lvlText w:val="•"/>
      <w:lvlJc w:val="left"/>
      <w:pPr>
        <w:ind w:left="5210" w:hanging="360"/>
      </w:pPr>
    </w:lvl>
    <w:lvl w:ilvl="6">
      <w:start w:val="1"/>
      <w:numFmt w:val="bullet"/>
      <w:lvlText w:val="•"/>
      <w:lvlJc w:val="left"/>
      <w:pPr>
        <w:ind w:left="6156" w:hanging="360"/>
      </w:pPr>
    </w:lvl>
    <w:lvl w:ilvl="7">
      <w:start w:val="1"/>
      <w:numFmt w:val="bullet"/>
      <w:lvlText w:val="•"/>
      <w:lvlJc w:val="left"/>
      <w:pPr>
        <w:ind w:left="7102" w:hanging="360"/>
      </w:pPr>
    </w:lvl>
    <w:lvl w:ilvl="8">
      <w:start w:val="1"/>
      <w:numFmt w:val="bullet"/>
      <w:lvlText w:val="•"/>
      <w:lvlJc w:val="left"/>
      <w:pPr>
        <w:ind w:left="8048" w:hanging="360"/>
      </w:pPr>
    </w:lvl>
  </w:abstractNum>
  <w:abstractNum w:abstractNumId="1" w15:restartNumberingAfterBreak="0">
    <w:nsid w:val="6D454980"/>
    <w:multiLevelType w:val="multilevel"/>
    <w:tmpl w:val="F14EF5C4"/>
    <w:lvl w:ilvl="0">
      <w:start w:val="1"/>
      <w:numFmt w:val="upperLetter"/>
      <w:lvlText w:val="%1."/>
      <w:lvlJc w:val="left"/>
      <w:pPr>
        <w:ind w:left="388" w:hanging="269"/>
      </w:pPr>
      <w:rPr>
        <w:rFonts w:ascii="Arial" w:eastAsia="Arial" w:hAnsi="Arial" w:cs="Arial"/>
        <w:sz w:val="22"/>
        <w:szCs w:val="22"/>
        <w:u w:val="single"/>
      </w:rPr>
    </w:lvl>
    <w:lvl w:ilvl="1">
      <w:start w:val="1"/>
      <w:numFmt w:val="bullet"/>
      <w:lvlText w:val="•"/>
      <w:lvlJc w:val="left"/>
      <w:pPr>
        <w:ind w:left="1336" w:hanging="269"/>
      </w:pPr>
    </w:lvl>
    <w:lvl w:ilvl="2">
      <w:start w:val="1"/>
      <w:numFmt w:val="bullet"/>
      <w:lvlText w:val="•"/>
      <w:lvlJc w:val="left"/>
      <w:pPr>
        <w:ind w:left="2292" w:hanging="269"/>
      </w:pPr>
    </w:lvl>
    <w:lvl w:ilvl="3">
      <w:start w:val="1"/>
      <w:numFmt w:val="bullet"/>
      <w:lvlText w:val="•"/>
      <w:lvlJc w:val="left"/>
      <w:pPr>
        <w:ind w:left="3248" w:hanging="268"/>
      </w:pPr>
    </w:lvl>
    <w:lvl w:ilvl="4">
      <w:start w:val="1"/>
      <w:numFmt w:val="bullet"/>
      <w:lvlText w:val="•"/>
      <w:lvlJc w:val="left"/>
      <w:pPr>
        <w:ind w:left="4204" w:hanging="269"/>
      </w:pPr>
    </w:lvl>
    <w:lvl w:ilvl="5">
      <w:start w:val="1"/>
      <w:numFmt w:val="bullet"/>
      <w:lvlText w:val="•"/>
      <w:lvlJc w:val="left"/>
      <w:pPr>
        <w:ind w:left="5160" w:hanging="269"/>
      </w:pPr>
    </w:lvl>
    <w:lvl w:ilvl="6">
      <w:start w:val="1"/>
      <w:numFmt w:val="bullet"/>
      <w:lvlText w:val="•"/>
      <w:lvlJc w:val="left"/>
      <w:pPr>
        <w:ind w:left="6116" w:hanging="269"/>
      </w:pPr>
    </w:lvl>
    <w:lvl w:ilvl="7">
      <w:start w:val="1"/>
      <w:numFmt w:val="bullet"/>
      <w:lvlText w:val="•"/>
      <w:lvlJc w:val="left"/>
      <w:pPr>
        <w:ind w:left="7072" w:hanging="268"/>
      </w:pPr>
    </w:lvl>
    <w:lvl w:ilvl="8">
      <w:start w:val="1"/>
      <w:numFmt w:val="bullet"/>
      <w:lvlText w:val="•"/>
      <w:lvlJc w:val="left"/>
      <w:pPr>
        <w:ind w:left="8028" w:hanging="269"/>
      </w:pPr>
    </w:lvl>
  </w:abstractNum>
  <w:num w:numId="1">
    <w:abstractNumId w:val="1"/>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70"/>
    <w:rsid w:val="00097B93"/>
    <w:rsid w:val="003D7CB1"/>
    <w:rsid w:val="00542A32"/>
    <w:rsid w:val="00C94270"/>
    <w:rsid w:val="00CC668D"/>
    <w:rsid w:val="00CE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A1E7"/>
  <w15:docId w15:val="{AD3AFBE6-2C12-4762-B970-DF56515A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en-US"/>
    </w:rPr>
  </w:style>
  <w:style w:type="paragraph" w:styleId="Heading1">
    <w:name w:val="heading 1"/>
    <w:basedOn w:val="Normal"/>
    <w:uiPriority w:val="9"/>
    <w:qFormat/>
    <w:pPr>
      <w:spacing w:before="73"/>
      <w:ind w:left="119" w:right="455"/>
      <w:jc w:val="center"/>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388" w:hanging="361"/>
      <w:jc w:val="both"/>
    </w:pPr>
  </w:style>
  <w:style w:type="paragraph" w:customStyle="1" w:styleId="TableParagraph">
    <w:name w:val="Table Paragraph"/>
    <w:basedOn w:val="Normal"/>
    <w:uiPriority w:val="1"/>
    <w:qFormat/>
    <w:pPr>
      <w:spacing w:line="236" w:lineRule="exact"/>
      <w:ind w:left="1545"/>
    </w:pPr>
  </w:style>
  <w:style w:type="paragraph" w:styleId="Header">
    <w:name w:val="header"/>
    <w:basedOn w:val="Normal"/>
    <w:link w:val="HeaderChar"/>
    <w:uiPriority w:val="99"/>
    <w:unhideWhenUsed/>
    <w:rsid w:val="003B1D7E"/>
    <w:pPr>
      <w:tabs>
        <w:tab w:val="center" w:pos="4680"/>
        <w:tab w:val="right" w:pos="9360"/>
      </w:tabs>
    </w:pPr>
  </w:style>
  <w:style w:type="character" w:customStyle="1" w:styleId="HeaderChar">
    <w:name w:val="Header Char"/>
    <w:basedOn w:val="DefaultParagraphFont"/>
    <w:link w:val="Header"/>
    <w:uiPriority w:val="99"/>
    <w:rsid w:val="003B1D7E"/>
    <w:rPr>
      <w:rFonts w:ascii="Arial" w:eastAsia="Arial" w:hAnsi="Arial" w:cs="Arial"/>
      <w:lang w:bidi="en-US"/>
    </w:rPr>
  </w:style>
  <w:style w:type="paragraph" w:styleId="Footer">
    <w:name w:val="footer"/>
    <w:basedOn w:val="Normal"/>
    <w:link w:val="FooterChar"/>
    <w:uiPriority w:val="99"/>
    <w:unhideWhenUsed/>
    <w:rsid w:val="003B1D7E"/>
    <w:pPr>
      <w:tabs>
        <w:tab w:val="center" w:pos="4680"/>
        <w:tab w:val="right" w:pos="9360"/>
      </w:tabs>
    </w:pPr>
  </w:style>
  <w:style w:type="character" w:customStyle="1" w:styleId="FooterChar">
    <w:name w:val="Footer Char"/>
    <w:basedOn w:val="DefaultParagraphFont"/>
    <w:link w:val="Footer"/>
    <w:uiPriority w:val="99"/>
    <w:rsid w:val="003B1D7E"/>
    <w:rPr>
      <w:rFonts w:ascii="Arial" w:eastAsia="Arial" w:hAnsi="Arial" w:cs="Arial"/>
      <w:lang w:bidi="en-US"/>
    </w:rPr>
  </w:style>
  <w:style w:type="character" w:styleId="CommentReference">
    <w:name w:val="annotation reference"/>
    <w:basedOn w:val="DefaultParagraphFont"/>
    <w:uiPriority w:val="99"/>
    <w:semiHidden/>
    <w:unhideWhenUsed/>
    <w:rsid w:val="00756F6C"/>
    <w:rPr>
      <w:sz w:val="16"/>
      <w:szCs w:val="16"/>
    </w:rPr>
  </w:style>
  <w:style w:type="paragraph" w:styleId="CommentText">
    <w:name w:val="annotation text"/>
    <w:basedOn w:val="Normal"/>
    <w:link w:val="CommentTextChar"/>
    <w:uiPriority w:val="99"/>
    <w:semiHidden/>
    <w:unhideWhenUsed/>
    <w:rsid w:val="00756F6C"/>
    <w:rPr>
      <w:sz w:val="20"/>
      <w:szCs w:val="20"/>
    </w:rPr>
  </w:style>
  <w:style w:type="character" w:customStyle="1" w:styleId="CommentTextChar">
    <w:name w:val="Comment Text Char"/>
    <w:basedOn w:val="DefaultParagraphFont"/>
    <w:link w:val="CommentText"/>
    <w:uiPriority w:val="99"/>
    <w:semiHidden/>
    <w:rsid w:val="00756F6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6F6C"/>
    <w:rPr>
      <w:b/>
      <w:bCs/>
    </w:rPr>
  </w:style>
  <w:style w:type="character" w:customStyle="1" w:styleId="CommentSubjectChar">
    <w:name w:val="Comment Subject Char"/>
    <w:basedOn w:val="CommentTextChar"/>
    <w:link w:val="CommentSubject"/>
    <w:uiPriority w:val="99"/>
    <w:semiHidden/>
    <w:rsid w:val="00756F6C"/>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756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F6C"/>
    <w:rPr>
      <w:rFonts w:ascii="Segoe UI" w:eastAsia="Arial" w:hAnsi="Segoe UI" w:cs="Segoe UI"/>
      <w:sz w:val="18"/>
      <w:szCs w:val="18"/>
      <w:lang w:bidi="en-US"/>
    </w:rPr>
  </w:style>
  <w:style w:type="paragraph" w:styleId="Revision">
    <w:name w:val="Revision"/>
    <w:hidden/>
    <w:uiPriority w:val="99"/>
    <w:semiHidden/>
    <w:rsid w:val="00BB3A8B"/>
    <w:pPr>
      <w:widowControl/>
    </w:pPr>
    <w:rPr>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209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be2EJ0K03RNnZ5XBX14vDTWQ==">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11444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Riddle</dc:creator>
  <cp:lastModifiedBy>Marcia Holbrook</cp:lastModifiedBy>
  <cp:revision>2</cp:revision>
  <dcterms:created xsi:type="dcterms:W3CDTF">2022-02-11T00:37:00Z</dcterms:created>
  <dcterms:modified xsi:type="dcterms:W3CDTF">2022-02-11T00:37:00Z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20 for Word</vt:lpwstr>
  </property>
  <property fmtid="{D5CDD505-2E9C-101B-9397-08002B2CF9AE}" pid="4" name="LastSaved">
    <vt:filetime>2020-05-12T00:00:00Z</vt:filetime>
  </property>
</Properties>
</file>